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54D8" w14:textId="0F687F1F" w:rsidR="007739E1" w:rsidRPr="007739E1" w:rsidRDefault="007739E1" w:rsidP="007739E1">
      <w:pPr>
        <w:keepLines/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739E1">
        <w:rPr>
          <w:rFonts w:ascii="Arial" w:hAnsi="Arial" w:cs="Arial"/>
          <w:sz w:val="22"/>
          <w:szCs w:val="22"/>
        </w:rPr>
        <w:t>Załącznik nr 3 do zapytania ofertowego z dnia 17.04.2023</w:t>
      </w:r>
    </w:p>
    <w:p w14:paraId="36E17BE4" w14:textId="46824D29" w:rsidR="007739E1" w:rsidRPr="007739E1" w:rsidRDefault="007739E1" w:rsidP="007739E1">
      <w:pPr>
        <w:keepLines/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  <w:r w:rsidRPr="007739E1">
        <w:rPr>
          <w:rFonts w:ascii="Arial" w:hAnsi="Arial" w:cs="Arial"/>
          <w:sz w:val="22"/>
          <w:szCs w:val="22"/>
        </w:rPr>
        <w:t>Postępowanie nr 01/04/MGZ/2023</w:t>
      </w:r>
    </w:p>
    <w:p w14:paraId="035A9E94" w14:textId="77777777" w:rsidR="007739E1" w:rsidRDefault="007739E1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3D4BB6C2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532C08">
        <w:rPr>
          <w:rFonts w:ascii="Arial" w:hAnsi="Arial" w:cs="Arial"/>
          <w:sz w:val="22"/>
          <w:szCs w:val="22"/>
        </w:rPr>
        <w:t>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korzystania z nich przez Wykonawcę i Zamawiającego, została zawarta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1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1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</w:t>
      </w:r>
      <w:r w:rsidRPr="00A56DEE">
        <w:rPr>
          <w:rFonts w:ascii="Arial" w:hAnsi="Arial" w:cs="Arial"/>
          <w:szCs w:val="22"/>
        </w:rPr>
        <w:lastRenderedPageBreak/>
        <w:t>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2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3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lastRenderedPageBreak/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przypadku, gdy w jakimkolwiek czasie po zawarciu Umowy, wszystkie lub część tych </w:t>
      </w:r>
      <w:r w:rsidRPr="0078167B">
        <w:rPr>
          <w:rFonts w:ascii="Arial" w:hAnsi="Arial" w:cs="Arial"/>
          <w:sz w:val="22"/>
          <w:szCs w:val="22"/>
        </w:rPr>
        <w:lastRenderedPageBreak/>
        <w:t>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9"/>
      <w:footerReference w:type="default" r:id="rId10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CB406" w14:textId="77777777" w:rsidR="00FB4F0B" w:rsidRDefault="00FB4F0B" w:rsidP="00643303">
      <w:r>
        <w:separator/>
      </w:r>
    </w:p>
  </w:endnote>
  <w:endnote w:type="continuationSeparator" w:id="0">
    <w:p w14:paraId="7DA8E2A4" w14:textId="77777777" w:rsidR="00FB4F0B" w:rsidRDefault="00FB4F0B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7739E1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7739E1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14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5644B" w14:textId="77777777" w:rsidR="00FB4F0B" w:rsidRDefault="00FB4F0B" w:rsidP="00643303">
      <w:r>
        <w:separator/>
      </w:r>
    </w:p>
  </w:footnote>
  <w:footnote w:type="continuationSeparator" w:id="0">
    <w:p w14:paraId="565257B5" w14:textId="77777777" w:rsidR="00FB4F0B" w:rsidRDefault="00FB4F0B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2AC0" w14:textId="66133820" w:rsidR="00C64752" w:rsidRDefault="00C64752">
    <w:pPr>
      <w:pStyle w:val="Nagwek"/>
    </w:pPr>
    <w:r>
      <w:rPr>
        <w:noProof/>
        <w:lang w:val="uk-UA" w:eastAsia="uk-UA"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2C08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A21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39E1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5FED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361A3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878E9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22D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548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4F0B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AADC-D0C4-40B3-B49E-3157A34A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20817</Words>
  <Characters>11867</Characters>
  <Application>Microsoft Office Word</Application>
  <DocSecurity>0</DocSecurity>
  <Lines>98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Karwowska</dc:creator>
  <cp:lastModifiedBy>Kowalski Ryszard</cp:lastModifiedBy>
  <cp:revision>2</cp:revision>
  <cp:lastPrinted>2021-05-28T15:10:00Z</cp:lastPrinted>
  <dcterms:created xsi:type="dcterms:W3CDTF">2023-04-17T08:56:00Z</dcterms:created>
  <dcterms:modified xsi:type="dcterms:W3CDTF">2023-04-17T08:56:00Z</dcterms:modified>
</cp:coreProperties>
</file>